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EF63" w14:textId="5B68B15A" w:rsidR="00874AFA" w:rsidRPr="00874AFA" w:rsidRDefault="00874AFA" w:rsidP="00874AFA">
      <w:pPr>
        <w:pStyle w:val="OZNRODZAKTUtznustawalubrozporzdzenieiorganwydajcy"/>
        <w:jc w:val="right"/>
        <w:rPr>
          <w:rFonts w:ascii="Times New Roman" w:hAnsi="Times New Roman"/>
          <w:i/>
          <w:iCs/>
        </w:rPr>
      </w:pPr>
      <w:r w:rsidRPr="00874AFA">
        <w:rPr>
          <w:rFonts w:ascii="Times New Roman" w:hAnsi="Times New Roman"/>
          <w:i/>
          <w:iCs/>
        </w:rPr>
        <w:t>Projekt</w:t>
      </w:r>
    </w:p>
    <w:p w14:paraId="0566C5E7" w14:textId="5B175000" w:rsidR="00874AFA" w:rsidRPr="00874AFA" w:rsidRDefault="00874AFA" w:rsidP="00874AFA">
      <w:pPr>
        <w:pStyle w:val="OZNRODZAKTUtznustawalubrozporzdzenieiorganwydajcy"/>
        <w:rPr>
          <w:rFonts w:ascii="Times New Roman" w:hAnsi="Times New Roman"/>
        </w:rPr>
      </w:pPr>
      <w:r w:rsidRPr="00874AFA">
        <w:rPr>
          <w:rFonts w:ascii="Times New Roman" w:hAnsi="Times New Roman"/>
        </w:rPr>
        <w:t>ustawa</w:t>
      </w:r>
    </w:p>
    <w:p w14:paraId="52C2D3A2" w14:textId="77777777" w:rsidR="00874AFA" w:rsidRPr="00874AFA" w:rsidRDefault="00874AFA" w:rsidP="00874AFA">
      <w:pPr>
        <w:pStyle w:val="DATAAKTUdatauchwalenialubwydaniaaktu"/>
        <w:rPr>
          <w:rFonts w:ascii="Times New Roman" w:hAnsi="Times New Roman" w:cs="Times New Roman"/>
        </w:rPr>
      </w:pPr>
      <w:r w:rsidRPr="00874AFA">
        <w:rPr>
          <w:rFonts w:ascii="Times New Roman" w:hAnsi="Times New Roman" w:cs="Times New Roman"/>
        </w:rPr>
        <w:t>z dnia……………2024 r.</w:t>
      </w:r>
    </w:p>
    <w:p w14:paraId="173DC7D8" w14:textId="77777777" w:rsidR="00874AFA" w:rsidRPr="00874AFA" w:rsidRDefault="00874AFA" w:rsidP="00874AFA">
      <w:pPr>
        <w:pStyle w:val="TYTUAKTUprzedmiotregulacjiustawylubrozporzdzenia"/>
        <w:rPr>
          <w:rFonts w:ascii="Times New Roman" w:hAnsi="Times New Roman" w:cs="Times New Roman"/>
        </w:rPr>
      </w:pPr>
      <w:r w:rsidRPr="00874AFA">
        <w:rPr>
          <w:rFonts w:ascii="Times New Roman" w:hAnsi="Times New Roman" w:cs="Times New Roman"/>
        </w:rPr>
        <w:t>o zmianie ustawy o rozwoju lokalnym z udziałem lokalnej społeczności</w:t>
      </w:r>
    </w:p>
    <w:p w14:paraId="382862B7" w14:textId="77777777" w:rsidR="00874AFA" w:rsidRPr="00874AFA" w:rsidRDefault="00874AFA" w:rsidP="00874AFA">
      <w:pPr>
        <w:pStyle w:val="ARTartustawynprozporzdzenia"/>
        <w:rPr>
          <w:rFonts w:ascii="Times New Roman" w:hAnsi="Times New Roman" w:cs="Times New Roman"/>
        </w:rPr>
      </w:pPr>
      <w:r w:rsidRPr="00874AFA">
        <w:rPr>
          <w:rStyle w:val="Ppogrubienie"/>
          <w:rFonts w:ascii="Times New Roman" w:hAnsi="Times New Roman" w:cs="Times New Roman"/>
        </w:rPr>
        <w:t>Art. 1.</w:t>
      </w:r>
      <w:r w:rsidRPr="00874AFA">
        <w:rPr>
          <w:rFonts w:ascii="Times New Roman" w:hAnsi="Times New Roman" w:cs="Times New Roman"/>
        </w:rPr>
        <w:t xml:space="preserve"> W ustawie z dnia 20 lutego 2015 r. o rozwoju lokalnym z udziałem lokalnej społeczności (Dz. U. z 2023 r. poz. 1554) wprowadza się następujące zmiany:</w:t>
      </w:r>
    </w:p>
    <w:p w14:paraId="005FD7A2" w14:textId="77777777" w:rsidR="00874AFA" w:rsidRPr="00874AFA" w:rsidRDefault="00874AFA" w:rsidP="00874AFA">
      <w:pPr>
        <w:pStyle w:val="PKTpunkt"/>
        <w:rPr>
          <w:rFonts w:ascii="Times New Roman" w:hAnsi="Times New Roman" w:cs="Times New Roman"/>
        </w:rPr>
      </w:pPr>
      <w:r w:rsidRPr="00874AFA">
        <w:rPr>
          <w:rFonts w:ascii="Times New Roman" w:hAnsi="Times New Roman" w:cs="Times New Roman"/>
        </w:rPr>
        <w:t>1)</w:t>
      </w:r>
      <w:r w:rsidRPr="00874AFA">
        <w:rPr>
          <w:rFonts w:ascii="Times New Roman" w:hAnsi="Times New Roman" w:cs="Times New Roman"/>
        </w:rPr>
        <w:tab/>
        <w:t>w art. 5:</w:t>
      </w:r>
    </w:p>
    <w:p w14:paraId="77E00A76" w14:textId="77777777" w:rsidR="00874AFA" w:rsidRPr="00874AFA" w:rsidRDefault="00874AFA" w:rsidP="00874AFA">
      <w:pPr>
        <w:pStyle w:val="LITlitera"/>
        <w:rPr>
          <w:rFonts w:ascii="Times New Roman" w:hAnsi="Times New Roman" w:cs="Times New Roman"/>
        </w:rPr>
      </w:pPr>
      <w:r w:rsidRPr="00874AFA">
        <w:rPr>
          <w:rFonts w:ascii="Times New Roman" w:hAnsi="Times New Roman" w:cs="Times New Roman"/>
        </w:rPr>
        <w:t>a)</w:t>
      </w:r>
      <w:r w:rsidRPr="00874AFA">
        <w:rPr>
          <w:rFonts w:ascii="Times New Roman" w:hAnsi="Times New Roman" w:cs="Times New Roman"/>
        </w:rPr>
        <w:tab/>
        <w:t>w ust. 3 pkt 1a otrzymuje brzmienie:</w:t>
      </w:r>
    </w:p>
    <w:p w14:paraId="68FE3BF0" w14:textId="77777777" w:rsidR="00874AFA" w:rsidRPr="00874AFA" w:rsidRDefault="00874AFA" w:rsidP="00874AFA">
      <w:pPr>
        <w:pStyle w:val="ZLITPKTzmpktliter"/>
        <w:rPr>
          <w:rFonts w:ascii="Times New Roman" w:hAnsi="Times New Roman" w:cs="Times New Roman"/>
        </w:rPr>
      </w:pPr>
      <w:r w:rsidRPr="00874AFA">
        <w:rPr>
          <w:rFonts w:ascii="Times New Roman" w:hAnsi="Times New Roman" w:cs="Times New Roman"/>
        </w:rPr>
        <w:t>„1a)</w:t>
      </w:r>
      <w:r w:rsidRPr="00874AFA">
        <w:rPr>
          <w:rFonts w:ascii="Times New Roman" w:hAnsi="Times New Roman" w:cs="Times New Roman"/>
        </w:rPr>
        <w:tab/>
        <w:t>jeżeli LSR nie obejmuje obszaru gmin objętych innymi LSR wybranymi po dniu 1 stycznia 2021 r., chyba że te LSR nie są już realizowane na podstawie umowy o warunkach i sposobie realizacji LSR, zwanej dalej „umową ramową”;”,</w:t>
      </w:r>
    </w:p>
    <w:p w14:paraId="7C4E6423" w14:textId="77777777" w:rsidR="00874AFA" w:rsidRPr="00874AFA" w:rsidRDefault="00874AFA" w:rsidP="00874AFA">
      <w:pPr>
        <w:pStyle w:val="LITlitera"/>
        <w:rPr>
          <w:rFonts w:ascii="Times New Roman" w:hAnsi="Times New Roman" w:cs="Times New Roman"/>
        </w:rPr>
      </w:pPr>
      <w:r w:rsidRPr="00874AFA">
        <w:rPr>
          <w:rFonts w:ascii="Times New Roman" w:hAnsi="Times New Roman" w:cs="Times New Roman"/>
        </w:rPr>
        <w:t>b)</w:t>
      </w:r>
      <w:r w:rsidRPr="00874AFA">
        <w:rPr>
          <w:rFonts w:ascii="Times New Roman" w:hAnsi="Times New Roman" w:cs="Times New Roman"/>
        </w:rPr>
        <w:tab/>
        <w:t>w ust. 5 wyrazy „umowy o warunkach i sposobie realizacji LSR, zwanej dalej „umową ramową”,” zastępuje się wyrazami „umowy ramowej”;</w:t>
      </w:r>
    </w:p>
    <w:p w14:paraId="66649FE1" w14:textId="77777777" w:rsidR="00874AFA" w:rsidRPr="00874AFA" w:rsidRDefault="00874AFA" w:rsidP="00874AFA">
      <w:pPr>
        <w:pStyle w:val="PKTpunkt"/>
        <w:rPr>
          <w:rFonts w:ascii="Times New Roman" w:hAnsi="Times New Roman" w:cs="Times New Roman"/>
        </w:rPr>
      </w:pPr>
      <w:r w:rsidRPr="00874AFA">
        <w:rPr>
          <w:rFonts w:ascii="Times New Roman" w:hAnsi="Times New Roman" w:cs="Times New Roman"/>
        </w:rPr>
        <w:t>2)</w:t>
      </w:r>
      <w:r w:rsidRPr="00874AFA">
        <w:rPr>
          <w:rFonts w:ascii="Times New Roman" w:hAnsi="Times New Roman" w:cs="Times New Roman"/>
        </w:rPr>
        <w:tab/>
        <w:t>w art. 14 uchyla się ust. 7;</w:t>
      </w:r>
    </w:p>
    <w:p w14:paraId="3D565CAC" w14:textId="77777777" w:rsidR="00874AFA" w:rsidRPr="00874AFA" w:rsidRDefault="00874AFA" w:rsidP="00874AFA">
      <w:pPr>
        <w:pStyle w:val="PKTpunkt"/>
        <w:rPr>
          <w:rFonts w:ascii="Times New Roman" w:hAnsi="Times New Roman" w:cs="Times New Roman"/>
        </w:rPr>
      </w:pPr>
      <w:r w:rsidRPr="00874AFA">
        <w:rPr>
          <w:rFonts w:ascii="Times New Roman" w:hAnsi="Times New Roman" w:cs="Times New Roman"/>
        </w:rPr>
        <w:t>3)</w:t>
      </w:r>
      <w:r w:rsidRPr="00874AFA">
        <w:rPr>
          <w:rFonts w:ascii="Times New Roman" w:hAnsi="Times New Roman" w:cs="Times New Roman"/>
        </w:rPr>
        <w:tab/>
        <w:t>po art. 14 dodaje się art. 14a–14c w brzmieniu:</w:t>
      </w:r>
    </w:p>
    <w:p w14:paraId="352DF579" w14:textId="77777777" w:rsidR="00874AFA" w:rsidRPr="00874AFA" w:rsidRDefault="00874AFA" w:rsidP="00874AFA">
      <w:pPr>
        <w:pStyle w:val="ZARTzmartartykuempunktem"/>
        <w:rPr>
          <w:rFonts w:ascii="Times New Roman" w:hAnsi="Times New Roman" w:cs="Times New Roman"/>
        </w:rPr>
      </w:pPr>
      <w:r w:rsidRPr="00874AFA">
        <w:rPr>
          <w:rFonts w:ascii="Times New Roman" w:hAnsi="Times New Roman" w:cs="Times New Roman"/>
        </w:rPr>
        <w:t>„Art. 14a. Jeżeli umowa ramowa została rozwiązana, a przy wyborze LSR stanowiącej załącznik do tej umowy miał zastosowanie przepis art. 5 ust. 7, komisja, w terminie 30 dni od dnia rozwiązania tej umowy, dokonuje wyboru kolejnych LSR spośród LSR ocenionych, lecz niewybranych w ramach konkursu rozstrzygniętego wyborem LSR stanowiącej załącznik do rozwiązanej umowy ramowej, z tym że komisja:</w:t>
      </w:r>
    </w:p>
    <w:p w14:paraId="3F2EE545"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1)</w:t>
      </w:r>
      <w:r w:rsidRPr="00874AFA">
        <w:rPr>
          <w:rFonts w:ascii="Times New Roman" w:hAnsi="Times New Roman" w:cs="Times New Roman"/>
        </w:rPr>
        <w:tab/>
        <w:t>dokonuje wyboru LSR, uchylając jednocześnie wcześniej podjętą uchwałę o wyborze LSR, w której wskazano, że ta LSR nie została wybrana;</w:t>
      </w:r>
    </w:p>
    <w:p w14:paraId="051E5865"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2)</w:t>
      </w:r>
      <w:r w:rsidRPr="00874AFA">
        <w:rPr>
          <w:rFonts w:ascii="Times New Roman" w:hAnsi="Times New Roman" w:cs="Times New Roman"/>
        </w:rPr>
        <w:tab/>
        <w:t>aktualizuje i zamieszcza na stronie internetowej województwa listę, o której mowa w art. 11 ust. 2, wskazując dodatkowo, które spośród LSR wybranych nie są już realizowane na podstawie umowy ramowej.</w:t>
      </w:r>
    </w:p>
    <w:p w14:paraId="7831C360" w14:textId="77777777" w:rsidR="00874AFA" w:rsidRPr="00874AFA" w:rsidRDefault="00874AFA" w:rsidP="00874AFA">
      <w:pPr>
        <w:pStyle w:val="ZUSTzmustartykuempunktem"/>
        <w:rPr>
          <w:rFonts w:ascii="Times New Roman" w:hAnsi="Times New Roman" w:cs="Times New Roman"/>
        </w:rPr>
      </w:pPr>
      <w:r w:rsidRPr="00874AFA">
        <w:rPr>
          <w:rFonts w:ascii="Times New Roman" w:hAnsi="Times New Roman" w:cs="Times New Roman"/>
        </w:rPr>
        <w:t>Art. 14b. 1. Jeżeli środki przeznaczone na realizację LSR są dostępne:</w:t>
      </w:r>
    </w:p>
    <w:p w14:paraId="28212BEB"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1)</w:t>
      </w:r>
      <w:r w:rsidRPr="00874AFA">
        <w:rPr>
          <w:rFonts w:ascii="Times New Roman" w:hAnsi="Times New Roman" w:cs="Times New Roman"/>
        </w:rPr>
        <w:tab/>
        <w:t>obszar gminy, który:</w:t>
      </w:r>
    </w:p>
    <w:p w14:paraId="1B9E9B88" w14:textId="77777777" w:rsidR="00874AFA" w:rsidRPr="00874AFA" w:rsidRDefault="00874AFA" w:rsidP="00874AFA">
      <w:pPr>
        <w:pStyle w:val="ZLITwPKTzmlitwpktartykuempunktem"/>
        <w:rPr>
          <w:rFonts w:ascii="Times New Roman" w:hAnsi="Times New Roman" w:cs="Times New Roman"/>
        </w:rPr>
      </w:pPr>
      <w:r w:rsidRPr="00874AFA">
        <w:rPr>
          <w:rFonts w:ascii="Times New Roman" w:hAnsi="Times New Roman" w:cs="Times New Roman"/>
        </w:rPr>
        <w:t>a)</w:t>
      </w:r>
      <w:r w:rsidRPr="00874AFA">
        <w:rPr>
          <w:rFonts w:ascii="Times New Roman" w:hAnsi="Times New Roman" w:cs="Times New Roman"/>
        </w:rPr>
        <w:tab/>
        <w:t>nie jest objęty żadną LSR wybraną po dniu 1 stycznia 2021 r. albo</w:t>
      </w:r>
    </w:p>
    <w:p w14:paraId="2EC17CFC" w14:textId="77777777" w:rsidR="00874AFA" w:rsidRPr="00874AFA" w:rsidRDefault="00874AFA" w:rsidP="00874AFA">
      <w:pPr>
        <w:pStyle w:val="ZLITwPKTzmlitwpktartykuempunktem"/>
        <w:rPr>
          <w:rFonts w:ascii="Times New Roman" w:hAnsi="Times New Roman" w:cs="Times New Roman"/>
        </w:rPr>
      </w:pPr>
      <w:r w:rsidRPr="00874AFA">
        <w:rPr>
          <w:rFonts w:ascii="Times New Roman" w:hAnsi="Times New Roman" w:cs="Times New Roman"/>
        </w:rPr>
        <w:t>b)</w:t>
      </w:r>
      <w:r w:rsidRPr="00874AFA">
        <w:rPr>
          <w:rFonts w:ascii="Times New Roman" w:hAnsi="Times New Roman" w:cs="Times New Roman"/>
        </w:rPr>
        <w:tab/>
        <w:t>jest objęty LSR wybraną po dniu 1 stycznia 2021 r., która nie jest już realizowana na podstawie umowy ramowej</w:t>
      </w:r>
    </w:p>
    <w:p w14:paraId="4FE49B73" w14:textId="77777777" w:rsidR="00874AFA" w:rsidRPr="00874AFA" w:rsidRDefault="00874AFA" w:rsidP="00874AFA">
      <w:pPr>
        <w:pStyle w:val="ZCZWSPLITwPKTzmczciwsplitwpktartykuempunktem"/>
        <w:rPr>
          <w:rFonts w:ascii="Times New Roman" w:hAnsi="Times New Roman" w:cs="Times New Roman"/>
        </w:rPr>
      </w:pPr>
      <w:r w:rsidRPr="00874AFA">
        <w:rPr>
          <w:rFonts w:ascii="Times New Roman" w:hAnsi="Times New Roman" w:cs="Times New Roman"/>
        </w:rPr>
        <w:lastRenderedPageBreak/>
        <w:t xml:space="preserve">– może zostać </w:t>
      </w:r>
      <w:bookmarkStart w:id="0" w:name="mip69364268"/>
      <w:bookmarkEnd w:id="0"/>
      <w:r w:rsidRPr="00874AFA">
        <w:rPr>
          <w:rFonts w:ascii="Times New Roman" w:hAnsi="Times New Roman" w:cs="Times New Roman"/>
        </w:rPr>
        <w:t>przyłączony do obszaru objętego jedną z wybranych LSR, który graniczy z obszarem tej gminy, chyba że gmina ta objęta jest ocenioną LSR, która podlega wyborowi zgodnie z art. 14a;</w:t>
      </w:r>
    </w:p>
    <w:p w14:paraId="102C64B2"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2)</w:t>
      </w:r>
      <w:r w:rsidRPr="00874AFA">
        <w:rPr>
          <w:rFonts w:ascii="Times New Roman" w:hAnsi="Times New Roman" w:cs="Times New Roman"/>
        </w:rPr>
        <w:tab/>
        <w:t>zarząd województwa może ogłosić kolejny konkurs na wybór LSR.</w:t>
      </w:r>
    </w:p>
    <w:p w14:paraId="121FB2F2" w14:textId="77777777" w:rsidR="00874AFA" w:rsidRPr="00874AFA" w:rsidRDefault="00874AFA" w:rsidP="00874AFA">
      <w:pPr>
        <w:pStyle w:val="ZUSTzmustartykuempunktem"/>
        <w:rPr>
          <w:rFonts w:ascii="Times New Roman" w:hAnsi="Times New Roman" w:cs="Times New Roman"/>
        </w:rPr>
      </w:pPr>
      <w:r w:rsidRPr="00874AFA">
        <w:rPr>
          <w:rFonts w:ascii="Times New Roman" w:hAnsi="Times New Roman" w:cs="Times New Roman"/>
        </w:rPr>
        <w:t>2. Przyłączenie, o którym mowa w ust. 1 pkt 1, następuje przez wprowadzenie zmiany w umowie ramowej.</w:t>
      </w:r>
    </w:p>
    <w:p w14:paraId="65209CD1" w14:textId="77777777" w:rsidR="00874AFA" w:rsidRPr="00874AFA" w:rsidRDefault="00874AFA" w:rsidP="00874AFA">
      <w:pPr>
        <w:pStyle w:val="ZARTzmartartykuempunktem"/>
        <w:rPr>
          <w:rFonts w:ascii="Times New Roman" w:hAnsi="Times New Roman" w:cs="Times New Roman"/>
        </w:rPr>
      </w:pPr>
      <w:bookmarkStart w:id="1" w:name="mip69364269"/>
      <w:bookmarkEnd w:id="1"/>
      <w:r w:rsidRPr="00874AFA">
        <w:rPr>
          <w:rFonts w:ascii="Times New Roman" w:hAnsi="Times New Roman" w:cs="Times New Roman"/>
        </w:rPr>
        <w:t>Art. 14c. Wyboru LSR w ramach kolejnego konkursu dokonuje się przy zastosowaniu kryteriów wyboru LSR mających zastosowanie w poprzednim konkursie na wybór LSR, w terminie 4 miesięcy od dnia upływu terminu składania wniosków o wybór LSR, a:</w:t>
      </w:r>
    </w:p>
    <w:p w14:paraId="2F2CF2E4"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1)</w:t>
      </w:r>
      <w:r w:rsidRPr="00874AFA">
        <w:rPr>
          <w:rFonts w:ascii="Times New Roman" w:hAnsi="Times New Roman" w:cs="Times New Roman"/>
        </w:rPr>
        <w:tab/>
        <w:t>o wyniku oceny LSR komisja informuje LGD w terminie 2 miesięcy od dnia upływu terminu składania wniosków o wybór LSR;</w:t>
      </w:r>
    </w:p>
    <w:p w14:paraId="6A6EDD0F"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2)</w:t>
      </w:r>
      <w:r w:rsidRPr="00874AFA">
        <w:rPr>
          <w:rFonts w:ascii="Times New Roman" w:hAnsi="Times New Roman" w:cs="Times New Roman"/>
        </w:rPr>
        <w:tab/>
        <w:t>minister właściwy do spraw rozwoju wsi opracowuje formularze, o których mowa w art. 7 pkt 1 i art. 14 ust. 2, oraz regulamin, o którym mowa w art. 9 ust. 1:</w:t>
      </w:r>
    </w:p>
    <w:p w14:paraId="3A23662F" w14:textId="77777777" w:rsidR="00874AFA" w:rsidRPr="00874AFA" w:rsidRDefault="00874AFA" w:rsidP="00874AFA">
      <w:pPr>
        <w:pStyle w:val="ZLITwPKTzmlitwpktartykuempunktem"/>
        <w:rPr>
          <w:rFonts w:ascii="Times New Roman" w:hAnsi="Times New Roman" w:cs="Times New Roman"/>
        </w:rPr>
      </w:pPr>
      <w:r w:rsidRPr="00874AFA">
        <w:rPr>
          <w:rFonts w:ascii="Times New Roman" w:hAnsi="Times New Roman" w:cs="Times New Roman"/>
        </w:rPr>
        <w:t>a)</w:t>
      </w:r>
      <w:r w:rsidRPr="00874AFA">
        <w:rPr>
          <w:rFonts w:ascii="Times New Roman" w:hAnsi="Times New Roman" w:cs="Times New Roman"/>
        </w:rPr>
        <w:tab/>
        <w:t>w uzgodnieniu z zarządami województw będącymi IZ</w:t>
      </w:r>
      <w:bookmarkStart w:id="2" w:name="_Hlk162434221"/>
      <w:r w:rsidRPr="00874AFA">
        <w:rPr>
          <w:rFonts w:ascii="Times New Roman" w:hAnsi="Times New Roman" w:cs="Times New Roman"/>
        </w:rPr>
        <w:t>,</w:t>
      </w:r>
      <w:bookmarkEnd w:id="2"/>
    </w:p>
    <w:p w14:paraId="7B13FBD4" w14:textId="77777777" w:rsidR="00874AFA" w:rsidRPr="00874AFA" w:rsidRDefault="00874AFA" w:rsidP="00874AFA">
      <w:pPr>
        <w:pStyle w:val="ZLITwPKTzmlitwpktartykuempunktem"/>
        <w:rPr>
          <w:rFonts w:ascii="Times New Roman" w:hAnsi="Times New Roman" w:cs="Times New Roman"/>
        </w:rPr>
      </w:pPr>
      <w:r w:rsidRPr="00874AFA">
        <w:rPr>
          <w:rFonts w:ascii="Times New Roman" w:hAnsi="Times New Roman" w:cs="Times New Roman"/>
        </w:rPr>
        <w:t>b)</w:t>
      </w:r>
      <w:r w:rsidRPr="00874AFA">
        <w:rPr>
          <w:rFonts w:ascii="Times New Roman" w:hAnsi="Times New Roman" w:cs="Times New Roman"/>
        </w:rPr>
        <w:tab/>
        <w:t>po zasięgnięciu opinii Agencji Restrukturyzacji i Modernizacji Rolnictwa oraz zarządów województw niebędących IZ</w:t>
      </w:r>
    </w:p>
    <w:p w14:paraId="48B0DD4A" w14:textId="77777777" w:rsidR="00874AFA" w:rsidRPr="00874AFA" w:rsidRDefault="00874AFA" w:rsidP="00874AFA">
      <w:pPr>
        <w:pStyle w:val="ZCZWSPLITwPKTzmczciwsplitwpktartykuempunktem"/>
        <w:rPr>
          <w:rFonts w:ascii="Times New Roman" w:hAnsi="Times New Roman" w:cs="Times New Roman"/>
        </w:rPr>
      </w:pPr>
      <w:r w:rsidRPr="00874AFA">
        <w:rPr>
          <w:rFonts w:ascii="Times New Roman" w:hAnsi="Times New Roman" w:cs="Times New Roman"/>
        </w:rPr>
        <w:t>– z wyłączeniem zarządów województw, w których nie zostanie przeprowadzony kolejny konkurs na wybór LSR;</w:t>
      </w:r>
    </w:p>
    <w:p w14:paraId="442641AA" w14:textId="77777777" w:rsidR="00874AFA" w:rsidRPr="00874AFA" w:rsidRDefault="00874AFA" w:rsidP="00874AFA">
      <w:pPr>
        <w:pStyle w:val="ZPKTzmpktartykuempunktem"/>
        <w:rPr>
          <w:rFonts w:ascii="Times New Roman" w:hAnsi="Times New Roman" w:cs="Times New Roman"/>
        </w:rPr>
      </w:pPr>
      <w:r w:rsidRPr="00874AFA">
        <w:rPr>
          <w:rFonts w:ascii="Times New Roman" w:hAnsi="Times New Roman" w:cs="Times New Roman"/>
        </w:rPr>
        <w:t>3)</w:t>
      </w:r>
      <w:r w:rsidRPr="00874AFA">
        <w:rPr>
          <w:rFonts w:ascii="Times New Roman" w:hAnsi="Times New Roman" w:cs="Times New Roman"/>
        </w:rPr>
        <w:tab/>
        <w:t>przepisu art. 15 ust. 2 nie stosuje się.”;</w:t>
      </w:r>
    </w:p>
    <w:p w14:paraId="0AB1F22D" w14:textId="77777777" w:rsidR="00874AFA" w:rsidRPr="00874AFA" w:rsidRDefault="00874AFA" w:rsidP="00874AFA">
      <w:pPr>
        <w:pStyle w:val="PKTpunkt"/>
        <w:rPr>
          <w:rFonts w:ascii="Times New Roman" w:hAnsi="Times New Roman" w:cs="Times New Roman"/>
        </w:rPr>
      </w:pPr>
      <w:r w:rsidRPr="00874AFA">
        <w:rPr>
          <w:rFonts w:ascii="Times New Roman" w:hAnsi="Times New Roman" w:cs="Times New Roman"/>
        </w:rPr>
        <w:t>4)</w:t>
      </w:r>
      <w:r w:rsidRPr="00874AFA">
        <w:rPr>
          <w:rFonts w:ascii="Times New Roman" w:hAnsi="Times New Roman" w:cs="Times New Roman"/>
        </w:rPr>
        <w:tab/>
        <w:t>w art. 15a w ust. 1:</w:t>
      </w:r>
    </w:p>
    <w:p w14:paraId="67A44C89" w14:textId="77777777" w:rsidR="00874AFA" w:rsidRPr="00874AFA" w:rsidRDefault="00874AFA" w:rsidP="00874AFA">
      <w:pPr>
        <w:pStyle w:val="LITlitera"/>
        <w:rPr>
          <w:rFonts w:ascii="Times New Roman" w:hAnsi="Times New Roman" w:cs="Times New Roman"/>
        </w:rPr>
      </w:pPr>
      <w:r w:rsidRPr="00874AFA">
        <w:rPr>
          <w:rFonts w:ascii="Times New Roman" w:hAnsi="Times New Roman" w:cs="Times New Roman"/>
        </w:rPr>
        <w:t>a)</w:t>
      </w:r>
      <w:r w:rsidRPr="00874AFA">
        <w:rPr>
          <w:rFonts w:ascii="Times New Roman" w:hAnsi="Times New Roman" w:cs="Times New Roman"/>
        </w:rPr>
        <w:tab/>
        <w:t>w zdaniu pierwszym po wyrazach „wydawać LGD” dodaje się wyrazy „oraz zarządom województw”,</w:t>
      </w:r>
    </w:p>
    <w:p w14:paraId="251919B5" w14:textId="77777777" w:rsidR="00874AFA" w:rsidRPr="00874AFA" w:rsidRDefault="00874AFA" w:rsidP="00874AFA">
      <w:pPr>
        <w:pStyle w:val="LITlitera"/>
        <w:rPr>
          <w:rFonts w:ascii="Times New Roman" w:hAnsi="Times New Roman" w:cs="Times New Roman"/>
        </w:rPr>
      </w:pPr>
      <w:r w:rsidRPr="00874AFA">
        <w:rPr>
          <w:rFonts w:ascii="Times New Roman" w:hAnsi="Times New Roman" w:cs="Times New Roman"/>
        </w:rPr>
        <w:t>b)</w:t>
      </w:r>
      <w:r w:rsidRPr="00874AFA">
        <w:rPr>
          <w:rFonts w:ascii="Times New Roman" w:hAnsi="Times New Roman" w:cs="Times New Roman"/>
        </w:rPr>
        <w:tab/>
        <w:t>w zdaniu drugim po wyrazie „LGD” dodaje się wyrazy „oraz zarządów województw”.</w:t>
      </w:r>
    </w:p>
    <w:p w14:paraId="4EFC0AD9" w14:textId="77777777" w:rsidR="00874AFA" w:rsidRPr="00874AFA" w:rsidRDefault="00874AFA" w:rsidP="00874AFA">
      <w:pPr>
        <w:pStyle w:val="ARTartustawynprozporzdzenia"/>
        <w:rPr>
          <w:rFonts w:ascii="Times New Roman" w:hAnsi="Times New Roman" w:cs="Times New Roman"/>
        </w:rPr>
      </w:pPr>
      <w:r w:rsidRPr="00874AFA">
        <w:rPr>
          <w:rStyle w:val="Ppogrubienie"/>
          <w:rFonts w:ascii="Times New Roman" w:hAnsi="Times New Roman" w:cs="Times New Roman"/>
        </w:rPr>
        <w:t>Art. 2.</w:t>
      </w:r>
      <w:r w:rsidRPr="00874AFA">
        <w:rPr>
          <w:rFonts w:ascii="Times New Roman" w:hAnsi="Times New Roman" w:cs="Times New Roman"/>
        </w:rPr>
        <w:t xml:space="preserve"> W przypadku rozwiązania umowy, o której mowa w art. 5 ust. 3 pkt 1a ustawy zmienianej w art. 1, przed wejściem w życie ustawy termin określony w art. 14a liczy się od dnia wejścia w życie niniejszej ustawy.</w:t>
      </w:r>
    </w:p>
    <w:p w14:paraId="3638F55C" w14:textId="77777777" w:rsidR="00874AFA" w:rsidRPr="00874AFA" w:rsidRDefault="00874AFA" w:rsidP="00874AFA">
      <w:pPr>
        <w:pStyle w:val="ARTartustawynprozporzdzenia"/>
        <w:rPr>
          <w:rFonts w:ascii="Times New Roman" w:hAnsi="Times New Roman" w:cs="Times New Roman"/>
        </w:rPr>
      </w:pPr>
      <w:r w:rsidRPr="00874AFA">
        <w:rPr>
          <w:rStyle w:val="Ppogrubienie"/>
          <w:rFonts w:ascii="Times New Roman" w:hAnsi="Times New Roman" w:cs="Times New Roman"/>
        </w:rPr>
        <w:t>Art. 3.</w:t>
      </w:r>
      <w:r w:rsidRPr="00874AFA">
        <w:rPr>
          <w:rFonts w:ascii="Times New Roman" w:hAnsi="Times New Roman" w:cs="Times New Roman"/>
        </w:rPr>
        <w:t xml:space="preserve"> Ustawa wchodzi w życie z dniem następującym po dniu ogłoszenia.</w:t>
      </w:r>
    </w:p>
    <w:p w14:paraId="42298BAF" w14:textId="77777777" w:rsidR="00874AFA" w:rsidRPr="00874AFA" w:rsidRDefault="00874AFA" w:rsidP="00874AFA">
      <w:pPr>
        <w:pStyle w:val="ARTartustawynprozporzdzenia"/>
        <w:rPr>
          <w:rFonts w:ascii="Times New Roman" w:hAnsi="Times New Roman" w:cs="Times New Roman"/>
        </w:rPr>
      </w:pPr>
    </w:p>
    <w:p w14:paraId="77A91EF4" w14:textId="77777777" w:rsidR="00E867EC" w:rsidRDefault="00E867EC" w:rsidP="003A6204">
      <w:pPr>
        <w:jc w:val="center"/>
        <w:rPr>
          <w:rFonts w:cs="Times New Roman"/>
          <w:b/>
          <w:bCs/>
          <w:szCs w:val="24"/>
        </w:rPr>
      </w:pPr>
    </w:p>
    <w:p w14:paraId="0868EF0D" w14:textId="77777777" w:rsidR="00E867EC" w:rsidRDefault="00E867EC" w:rsidP="003A6204">
      <w:pPr>
        <w:jc w:val="center"/>
        <w:rPr>
          <w:rFonts w:cs="Times New Roman"/>
          <w:b/>
          <w:bCs/>
          <w:szCs w:val="24"/>
        </w:rPr>
      </w:pPr>
    </w:p>
    <w:p w14:paraId="76C40666" w14:textId="2E157652" w:rsidR="00874AFA" w:rsidRDefault="00874AFA" w:rsidP="003A6204">
      <w:pPr>
        <w:jc w:val="center"/>
        <w:rPr>
          <w:rFonts w:cs="Times New Roman"/>
          <w:b/>
          <w:bCs/>
          <w:szCs w:val="24"/>
        </w:rPr>
      </w:pPr>
      <w:r w:rsidRPr="003A6204">
        <w:rPr>
          <w:rFonts w:cs="Times New Roman"/>
          <w:b/>
          <w:bCs/>
          <w:szCs w:val="24"/>
        </w:rPr>
        <w:lastRenderedPageBreak/>
        <w:t>UZASADNIENIE</w:t>
      </w:r>
    </w:p>
    <w:p w14:paraId="13A4C73C" w14:textId="77777777" w:rsidR="003A6204" w:rsidRPr="003A6204" w:rsidRDefault="003A6204" w:rsidP="003A6204">
      <w:pPr>
        <w:jc w:val="center"/>
        <w:rPr>
          <w:rFonts w:cs="Times New Roman"/>
          <w:b/>
          <w:bCs/>
          <w:szCs w:val="24"/>
        </w:rPr>
      </w:pPr>
    </w:p>
    <w:p w14:paraId="59366D5E" w14:textId="77777777" w:rsidR="00874AFA" w:rsidRPr="003A6204" w:rsidRDefault="00874AFA" w:rsidP="003A6204">
      <w:pPr>
        <w:ind w:firstLine="708"/>
        <w:jc w:val="both"/>
        <w:rPr>
          <w:rFonts w:cs="Times New Roman"/>
          <w:szCs w:val="24"/>
        </w:rPr>
      </w:pPr>
      <w:r w:rsidRPr="003A6204">
        <w:rPr>
          <w:rFonts w:cs="Times New Roman"/>
          <w:szCs w:val="24"/>
        </w:rPr>
        <w:t>Celem proponowanych zmian ustawowych jest usprawnienie i zwiększenie efektywności systemu wdrażania rozwoju lokalnego kierowanego przez społeczność (RLKS).</w:t>
      </w:r>
    </w:p>
    <w:p w14:paraId="180E81CC" w14:textId="77777777" w:rsidR="00874AFA" w:rsidRPr="003A6204" w:rsidRDefault="00874AFA" w:rsidP="003A6204">
      <w:pPr>
        <w:jc w:val="both"/>
        <w:rPr>
          <w:rFonts w:cs="Times New Roman"/>
          <w:szCs w:val="24"/>
        </w:rPr>
      </w:pPr>
      <w:r w:rsidRPr="003A6204">
        <w:rPr>
          <w:rFonts w:cs="Times New Roman"/>
          <w:szCs w:val="24"/>
        </w:rPr>
        <w:t>RLKS jest instrumentem, który w ramach perspektywy finansowej UE 2023–2027 umożliwia zastosowanie metody LEADER. Leader jest oddolnym, partnerskim podejściem do rozwoju obszarów wiejskich, realizowanym przez lokalne grupy działania (LGD), polegającym na opracowaniu przez daną społeczność strategii rozwoju lokalnego kierowanego przez społeczność (LSR).</w:t>
      </w:r>
    </w:p>
    <w:p w14:paraId="7F962FFE" w14:textId="77777777" w:rsidR="00874AFA" w:rsidRPr="003A6204" w:rsidRDefault="00874AFA" w:rsidP="003A6204">
      <w:pPr>
        <w:ind w:firstLine="708"/>
        <w:jc w:val="both"/>
        <w:rPr>
          <w:rFonts w:cs="Times New Roman"/>
          <w:szCs w:val="24"/>
        </w:rPr>
      </w:pPr>
      <w:r w:rsidRPr="003A6204">
        <w:rPr>
          <w:rFonts w:cs="Times New Roman"/>
          <w:szCs w:val="24"/>
        </w:rPr>
        <w:t>W</w:t>
      </w:r>
      <w:r w:rsidRPr="003A6204">
        <w:rPr>
          <w:rStyle w:val="Odwoaniedokomentarza"/>
          <w:rFonts w:cs="Times New Roman"/>
          <w:sz w:val="24"/>
          <w:szCs w:val="24"/>
        </w:rPr>
        <w:t xml:space="preserve"> 2023 r. we wszystkich województwach przeprowadzony został konkurs na wybór LSR, które będą realizowały LGD</w:t>
      </w:r>
      <w:r w:rsidRPr="003A6204">
        <w:rPr>
          <w:rFonts w:cs="Times New Roman"/>
          <w:szCs w:val="24"/>
        </w:rPr>
        <w:t xml:space="preserve"> w latach 2023–2027. Procedury wyboru LSR określone zostały w regulaminie konkursu na wybór LSR w oparciu o przepisy ustawy z dnia 20 lutego 2015 r. o rozwoju lokalnym z udziałem lokalnej społeczności (Dz.U. z 2023 r. poz. 1554) (ustawa) oraz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 </w:t>
      </w:r>
    </w:p>
    <w:p w14:paraId="3FBC2F04" w14:textId="77777777" w:rsidR="00874AFA" w:rsidRPr="003A6204" w:rsidRDefault="00874AFA" w:rsidP="003A6204">
      <w:pPr>
        <w:jc w:val="both"/>
        <w:rPr>
          <w:rFonts w:cs="Times New Roman"/>
          <w:szCs w:val="24"/>
        </w:rPr>
      </w:pPr>
      <w:r w:rsidRPr="003A6204">
        <w:rPr>
          <w:rFonts w:cs="Times New Roman"/>
          <w:szCs w:val="24"/>
        </w:rPr>
        <w:t xml:space="preserve">W wyniku konkursu wybrano 297 LSR. Zarządy Województw (ZW) zawarły ze wszystkimi LGD, których LSR zostały wybrane w konkursie umowy o warunkach i sposobie realizacji LSR (umowy ramowe). </w:t>
      </w:r>
    </w:p>
    <w:p w14:paraId="31647D27" w14:textId="77777777" w:rsidR="00874AFA" w:rsidRPr="003A6204" w:rsidRDefault="00874AFA" w:rsidP="003A6204">
      <w:pPr>
        <w:ind w:firstLine="708"/>
        <w:jc w:val="both"/>
        <w:rPr>
          <w:rFonts w:cs="Times New Roman"/>
          <w:szCs w:val="24"/>
        </w:rPr>
      </w:pPr>
      <w:r w:rsidRPr="003A6204">
        <w:rPr>
          <w:rFonts w:cs="Times New Roman"/>
          <w:szCs w:val="24"/>
        </w:rPr>
        <w:t>LGD, z którą zawarto umowę ramową, jest zobligowana do dostarczenia (w określonym czasie po jej zawarciu) do ZW dokumentów potwierdzających członkostwo wszystkich gmin objętych obszarem LSR, jeżeli dokumenty te nie zostały załączone do wniosku o wybór LSR w ramach konkursu na wybór LSR. W przypadku braku możliwości dostarczenia uchwały rady gminy, LGD, której LSR została wybrana, zobowiązana jest dostarczyć uchwałę rady powiatu o członkostwie powiatu w LGD, na obszarze którego położona jest taka gmina. Zgodnie z postanowieniami umowy ramowej, w przypadku braku dostarczenia przez LGD dokumentów potwierdzających członkostwo gminy lub powiatu w LGD, umowa ramowa zostanie rozwiązana.</w:t>
      </w:r>
    </w:p>
    <w:p w14:paraId="77220CB1" w14:textId="77777777" w:rsidR="00874AFA" w:rsidRPr="003A6204" w:rsidRDefault="00874AFA" w:rsidP="003A6204">
      <w:pPr>
        <w:ind w:firstLine="708"/>
        <w:jc w:val="both"/>
        <w:rPr>
          <w:rFonts w:cs="Times New Roman"/>
          <w:szCs w:val="24"/>
        </w:rPr>
      </w:pPr>
      <w:r w:rsidRPr="003A6204">
        <w:rPr>
          <w:rFonts w:cs="Times New Roman"/>
          <w:szCs w:val="24"/>
        </w:rPr>
        <w:t xml:space="preserve">W konsekwencji rozwiązania umowy ramowej, LGD nie będzie mogła realizować </w:t>
      </w:r>
      <w:r w:rsidRPr="003A6204">
        <w:rPr>
          <w:rFonts w:cs="Times New Roman"/>
          <w:szCs w:val="24"/>
        </w:rPr>
        <w:lastRenderedPageBreak/>
        <w:t>podejścia LEADER/RLKS na obszarze gmin, które są objęte wybraną LSR, a w praktyce mieszkańcy takich gmin zostaną pozbawieni możliwości uczestniczenia w oddolnym podejściu do rozwoju lokalnego, co jest zjawiskiem dalece niepożądanym i niekorzystnym z punktu widzenia efektywności wdrażania systemu RLKS.</w:t>
      </w:r>
    </w:p>
    <w:p w14:paraId="704DE619" w14:textId="77777777" w:rsidR="00874AFA" w:rsidRPr="003A6204" w:rsidRDefault="00874AFA" w:rsidP="003A6204">
      <w:pPr>
        <w:ind w:firstLine="708"/>
        <w:jc w:val="both"/>
        <w:rPr>
          <w:rFonts w:cs="Times New Roman"/>
          <w:szCs w:val="24"/>
        </w:rPr>
      </w:pPr>
      <w:r w:rsidRPr="003A6204">
        <w:rPr>
          <w:rFonts w:cs="Times New Roman"/>
          <w:szCs w:val="24"/>
        </w:rPr>
        <w:t xml:space="preserve">Wg stanu na dzień 5 kwietnia 2024 r., w dwóch województwach (podlaskim i małopolskim) wystąpiła konieczność rozwiązania umów ramowych w związku z niewypełnieniem zobowiązań przez LGD w zakresie dostarczenia uchwał rad gmin lub rad powiatów o członkostwie w LGD. Rozwiązanych zostanie co najmniej 5 umów ramowych (1 w woj. małopolskim, 4 w woj. podlaskim), w konsekwencji czego obszar co najmniej 51 gmin pozbawiony zostanie wsparcia w ramach RLKS. </w:t>
      </w:r>
    </w:p>
    <w:p w14:paraId="77813A66" w14:textId="77777777" w:rsidR="00874AFA" w:rsidRPr="003A6204" w:rsidRDefault="00874AFA" w:rsidP="003A6204">
      <w:pPr>
        <w:ind w:firstLine="708"/>
        <w:jc w:val="both"/>
        <w:rPr>
          <w:rFonts w:cs="Times New Roman"/>
          <w:szCs w:val="24"/>
        </w:rPr>
      </w:pPr>
      <w:r w:rsidRPr="003A6204">
        <w:rPr>
          <w:rFonts w:cs="Times New Roman"/>
          <w:szCs w:val="24"/>
        </w:rPr>
        <w:t>Przepisy obowiązującej ustawy przewidują m.in. mechanizmy rozstrzygania konfliktów obszarowych, poprzez kryteria wyboru LSR, a także przewidują rozwiązania na wypadek gdyby w wyniku rozstrzygnięcia konkursu na wybór LSR, oprócz wybranych LSR, pozostały tzw. białe plamy, a więc gminy, których obszar nie został objęty żadną z wybranych LSR (mimo że gminy te zostały objęte LSR przedłożonymi do konkursu na wybór LSR). Nie regulują natomiast procedury postępowania w sytuacji, gdy dochodzi do konieczności rozwiązania niektórych umów ramowych, które zostały zawarte pomiędzy ZW a LGD, w konsekwencji czego cześć gmin kwalifikujących się do objęcia RLKS pozostaje bez możliwości skorzystania ze wsparcia oferowanego w ramach Planu Strategicznego dla Wspólnej Polityki Rolnej na lata 2023–2027, a w przypadku m.in. województwa podlaskiego i małopolskiego, także ze środków polityki spójności.</w:t>
      </w:r>
    </w:p>
    <w:p w14:paraId="33AA5BDC" w14:textId="77777777" w:rsidR="00874AFA" w:rsidRPr="003A6204" w:rsidRDefault="00874AFA" w:rsidP="003A6204">
      <w:pPr>
        <w:ind w:firstLine="708"/>
        <w:jc w:val="both"/>
        <w:rPr>
          <w:rFonts w:cs="Times New Roman"/>
          <w:szCs w:val="24"/>
        </w:rPr>
      </w:pPr>
      <w:r w:rsidRPr="003A6204">
        <w:rPr>
          <w:rFonts w:cs="Times New Roman"/>
          <w:szCs w:val="24"/>
        </w:rPr>
        <w:t>Na gruncie obowiązującej ustawy ustawodawca nie przewidział sytuacji, w której gminy/powiaty nie wyrażą woli przystąpienia do LGD i współpracy z LGD. Stąd też istnieje pilna potrzeba nowelizacji ustawy, tak aby lokalne społeczności, niezależnie od skutków woli władz lokalnych, miały możliwość uczestnictwa w realizacji oddolnego podejścia jakim jest LEADER/RLKS.</w:t>
      </w:r>
    </w:p>
    <w:p w14:paraId="2992C3B1" w14:textId="77777777" w:rsidR="00874AFA" w:rsidRPr="003A6204" w:rsidRDefault="00874AFA" w:rsidP="003A6204">
      <w:pPr>
        <w:ind w:firstLine="708"/>
        <w:jc w:val="both"/>
        <w:rPr>
          <w:rFonts w:cs="Times New Roman"/>
          <w:szCs w:val="24"/>
        </w:rPr>
      </w:pPr>
      <w:r w:rsidRPr="003A6204">
        <w:rPr>
          <w:rFonts w:cs="Times New Roman"/>
          <w:szCs w:val="24"/>
        </w:rPr>
        <w:t>Proponowane projektem ustawy przepisy pozwalają aby realizacją podejścia LEADER/RLKS objąć możliwie największą część obszarów wiejskich w Polsce (a w przypadku środków polityki spójności szerzej, tj. całości kraju). Zakłada się, że projektowane zmiany umożliwią przyłączanie obszarów do wybranych LSR i wybór kolejnych LSR, także w odniesieniu do gmin, których obszar wprawdzie jest objęty LSR wybraną w konkursie na wybór LSR, ale umowy ramowe zawarte w następstwie tego wyboru pomiędzy ZW a LGD zostały rozwiązane.</w:t>
      </w:r>
    </w:p>
    <w:p w14:paraId="7E6A1CB0" w14:textId="77777777" w:rsidR="00874AFA" w:rsidRPr="003A6204" w:rsidRDefault="00874AFA" w:rsidP="003A6204">
      <w:pPr>
        <w:ind w:firstLine="708"/>
        <w:jc w:val="both"/>
        <w:rPr>
          <w:rFonts w:cs="Times New Roman"/>
          <w:szCs w:val="24"/>
        </w:rPr>
      </w:pPr>
      <w:r w:rsidRPr="003A6204">
        <w:rPr>
          <w:rFonts w:cs="Times New Roman"/>
          <w:szCs w:val="24"/>
        </w:rPr>
        <w:lastRenderedPageBreak/>
        <w:t>Projekt zakłada kompleksowe uregulowanie procedury postępowania w przypadku rozwiązania umowy ramowej oraz postępowania z obszarem nieobjętym LSR nadal realizowaną w oparciu o umowę ramową zawartą w wyniku rozstrzygnięcia konkursu, który odbył się w 2023 r. Zgodnie z projektem przewiduje się uchylenie w art. 14 ust. 7 (art. 1 pkt 3 projektowanej ustawy) i dodanie art. 14a–14c (art. 1 pkt 4 projektowanej ustawy).</w:t>
      </w:r>
    </w:p>
    <w:p w14:paraId="47DB7F67" w14:textId="77777777" w:rsidR="00874AFA" w:rsidRPr="003A6204" w:rsidRDefault="00874AFA" w:rsidP="003A6204">
      <w:pPr>
        <w:ind w:firstLine="708"/>
        <w:jc w:val="both"/>
        <w:rPr>
          <w:rFonts w:cs="Times New Roman"/>
          <w:szCs w:val="24"/>
        </w:rPr>
      </w:pPr>
      <w:r w:rsidRPr="003A6204">
        <w:rPr>
          <w:rFonts w:cs="Times New Roman"/>
          <w:szCs w:val="24"/>
        </w:rPr>
        <w:t>W nowododawanym art. 14a zaproponowano mechanizm polegający na dokonaniu tzw. wyboru uzupełniającego LSR. Proponuje się aby mechanizm ten miał zastosowanie w sytuacjach, gdy zaistniała konieczność rozwiązania umów ramowych, a przy wyborze LSR stanowiącej załącznik do tych umów zastosowanie miały przepisy o rozstrzyganiu konfliktu obszarowego, tj. art. 5 ust. 7 ustawy („W przypadku gdy co najmniej dwie LSR obejmują obszar tej samej gminy, o wyborze LSR decyduje większa liczba punktów uzyskanych w ramach oceny kryteriów wyboru LSR, a w przypadku gdy liczba punktów uzyskanych przez te LSR jest taka sama, o wyborze LSR decyduje kolejność ustalona w sposób określony w ust. 6”). W ramach tzw. naboru uzupełniającego proponuje się, by Komisja do spraw wyboru LSR (komisja) dokonywała wyboru kolejnej LSR spośród LSR ocenionych i niewybranych w ramach konkursu rozstrzygniętego wyborem LSR. Wybór kolejnych LSR dokonywany byłby na podstawie dokumentacji, wniosków o wybór LSR i ocen dokonanych w ramach rozstrzygniętego konkursu na wybór LSR. Działania komisji w ramach tego mechanizmu sprowadzałyby się de facto do wyboru LSR kolejnej z listy ocenionych i niewybranych do realizacji LSR. Zgodnie z projektem, komisja dokonując wyboru kolejnych LSR uchylałaby jednocześnie wcześniej/pierwotnie podjętą uchwałę o wyborze LSR oraz aktualizowałaby i zamieszczała na stronie internetowej województwa listę ocenionych LSR, wskazując które spośród LSR wybranych (w pierwszym/poprzednim etapie postępowania) nie są już realizowane na podstawie umowy ramowej. Proponuje się aby taki wybór dokonywany był w terminie 30 dni od dnia rozwiązania umowy ramowej.</w:t>
      </w:r>
    </w:p>
    <w:p w14:paraId="4AB368CF" w14:textId="77777777" w:rsidR="00874AFA" w:rsidRPr="003A6204" w:rsidRDefault="00874AFA" w:rsidP="003A6204">
      <w:pPr>
        <w:ind w:firstLine="708"/>
        <w:jc w:val="both"/>
        <w:rPr>
          <w:rFonts w:cs="Times New Roman"/>
          <w:szCs w:val="24"/>
        </w:rPr>
      </w:pPr>
      <w:r w:rsidRPr="003A6204">
        <w:rPr>
          <w:rFonts w:cs="Times New Roman"/>
          <w:szCs w:val="24"/>
        </w:rPr>
        <w:t>Jednocześnie, mając na uwadze fakt, że część umów ramowych zostanie rozwiązania przed wejściem w życie projektowanej ustawy, w celu zabezpieczenia niezbędnego czasu na przeprowadzenia przez ZW wymaganych procedur w związku z wyborem kolejnych LSR, proponuje się wprowadzenie przepisu przejściowego (art. 2 projektowanej ustawy), zgodnie z którym w takich sytuacjach bieg 30.dniowego terminu na dokonanie wyboru kolejnej LSR liczony będzie od dnia wejścia w życie projektowanej ustawy. W pozostałych przypadkach bieg terminu na dokonanie wyboru kolejnych LSR liczony będzie od dnia rozwiązania umowy ramowej.</w:t>
      </w:r>
    </w:p>
    <w:p w14:paraId="5FC8B799" w14:textId="77777777" w:rsidR="00874AFA" w:rsidRPr="003A6204" w:rsidRDefault="00874AFA" w:rsidP="003A6204">
      <w:pPr>
        <w:ind w:firstLine="708"/>
        <w:jc w:val="both"/>
        <w:rPr>
          <w:rFonts w:cs="Times New Roman"/>
          <w:szCs w:val="24"/>
        </w:rPr>
      </w:pPr>
      <w:r w:rsidRPr="003A6204">
        <w:rPr>
          <w:rFonts w:cs="Times New Roman"/>
          <w:szCs w:val="24"/>
        </w:rPr>
        <w:lastRenderedPageBreak/>
        <w:t>W projektowanym art. 14b, podobnie jak było to dotychczas uregulowane, proponuje się mechanizm przyłączenia obszaru gminy do obszaru objętego jedną z wybranych LSR, który graniczy z obszarem tej gminy, jeżeli środki przeznaczone na realizację LSR są dostępne, a obszar gminy nie jest objęty żadną LSR wybraną po dniu 1 stycznia 2021 r. albo jest objęty LSR wybraną po tej dacie, ale ta LSR nie jest już realizowana na podstawie umowy ramowej. Różnica względem obecnie obowiązującego rozwiązania polega na tym, że przyłączenie obszaru gminy może dotyczyć zarówno gmin objętych niewybranymi LSR, jak i tych, które są objęte wybranymi i nierealizowanym LSR w związku z rozwiązaniem umowy ramowej. Samo zaś przyłączenie obszaru danej gminy do LSR następuje przez wprowadzenie zmiany w umowie ramowej. Jednocześnie wyłącza się z możliwości zastosowania przyłączenia, gminy które są objęte ocenioną LSR i podlegają tzw. wyborowi uzupełniającemu, o którym mowa w nowododawanym art. 14a (do czasu zakończenia procesu tego wyboru). Rozwiązanie to pozwala uniknąć kolizji między tzw. wyborem uzupełniającym, a przyłączeniem obszaru gminy do obszaru objętego jedną z wybranych LSR graniczącym z obszarem tej gminy.</w:t>
      </w:r>
    </w:p>
    <w:p w14:paraId="32383FBA" w14:textId="77777777" w:rsidR="00874AFA" w:rsidRPr="003A6204" w:rsidRDefault="00874AFA" w:rsidP="003A6204">
      <w:pPr>
        <w:ind w:firstLine="708"/>
        <w:jc w:val="both"/>
        <w:rPr>
          <w:rFonts w:cs="Times New Roman"/>
          <w:szCs w:val="24"/>
        </w:rPr>
      </w:pPr>
      <w:r w:rsidRPr="003A6204">
        <w:rPr>
          <w:rFonts w:cs="Times New Roman"/>
          <w:szCs w:val="24"/>
        </w:rPr>
        <w:t>Zachowano również możliwość przeprowadzenia kolejnego konkursu na wybór LSR. Określono jednak zasady na jakich ten konkurs powinien zostać przeprowadzony.</w:t>
      </w:r>
    </w:p>
    <w:p w14:paraId="32F17F90" w14:textId="77777777" w:rsidR="00874AFA" w:rsidRPr="003A6204" w:rsidRDefault="00874AFA" w:rsidP="003A6204">
      <w:pPr>
        <w:ind w:firstLine="708"/>
        <w:jc w:val="both"/>
        <w:rPr>
          <w:rFonts w:cs="Times New Roman"/>
          <w:szCs w:val="24"/>
        </w:rPr>
      </w:pPr>
      <w:r w:rsidRPr="003A6204">
        <w:rPr>
          <w:rFonts w:cs="Times New Roman"/>
          <w:szCs w:val="24"/>
        </w:rPr>
        <w:t>Zgodnie z projektowanym art. 14c, wybór LSR w ramach kolejnego konkursu dokonywany będzie przy zastosowaniu kryteriów wyboru LSR mających zastosowanie w poprzednim konkursie na wybór LSR. Proponuje się aby dokumentacja konkursowa, taka jak formularze wniosku o wybór LSR i umowy ramowej oraz regulamin konkursu, analogicznie jak w przypadku pierwszego/poprzedniego konkursu, opracowane były przez ministra właściwego do spraw rozwoju wsi w uzgodnieniu z ZW będącymi Instytucjami Zarządzającymi (IZ) i po zasięgnięciu opinii Agencji Restrukturyzacji i Modernizacji Rolnictwa oraz ZW niebędących IZ, z tym że proponuje się wyłączenie z opiniowania ZW, w których nie zostanie przeprowadzony kolejny konkurs na wybór LSR. Nie ma bowiem potrzeby opiniowania i uzgadniania tych dokumentów przez wszystkie IZ, w tym przez te, których konkurs ten w praktyce nie będzie dotyczył. W zakresie regulaminu wyłączono również potrzebę opiniowania jego treści w zakresie wyboru kryteriów LSR przez komitety monitorujące programy, których środki są zaangażowane w RLKS – kryteria wyboru LSR w ponownym konkursie na wybór LSR nie ulegną bowiem zmianie.</w:t>
      </w:r>
    </w:p>
    <w:p w14:paraId="75B78B9B" w14:textId="77777777" w:rsidR="00874AFA" w:rsidRPr="003A6204" w:rsidRDefault="00874AFA" w:rsidP="003A6204">
      <w:pPr>
        <w:ind w:firstLine="708"/>
        <w:jc w:val="both"/>
        <w:rPr>
          <w:rFonts w:cs="Times New Roman"/>
          <w:szCs w:val="24"/>
        </w:rPr>
      </w:pPr>
      <w:r w:rsidRPr="003A6204">
        <w:rPr>
          <w:rFonts w:cs="Times New Roman"/>
          <w:szCs w:val="24"/>
        </w:rPr>
        <w:t xml:space="preserve">Dzięki takim rozwiązaniom zracjonalizowany zostaje czas niezbędny na wdrożenie LSR w ramach perspektywy finansowej 2023–2027, unika się nakładania zbędnych obciążeń administracyjnych na ZW oraz IZ, a dzięki zastosowaniu w ponownym konkursie kryteriów </w:t>
      </w:r>
      <w:r w:rsidRPr="003A6204">
        <w:rPr>
          <w:rFonts w:cs="Times New Roman"/>
          <w:szCs w:val="24"/>
        </w:rPr>
        <w:lastRenderedPageBreak/>
        <w:t>wyboru LSR takich samych jak w poprzednim konkursie na wybór LSR, zapobiega się ryzyku ewentualnych zarzutów nierównego traktowania LGD realizujących wybrane LSR w ramach tej samej perspektywy finansowej.</w:t>
      </w:r>
    </w:p>
    <w:p w14:paraId="1D73A06A" w14:textId="77777777" w:rsidR="00874AFA" w:rsidRPr="003A6204" w:rsidRDefault="00874AFA" w:rsidP="003A6204">
      <w:pPr>
        <w:ind w:firstLine="708"/>
        <w:jc w:val="both"/>
        <w:rPr>
          <w:rFonts w:cs="Times New Roman"/>
          <w:szCs w:val="24"/>
        </w:rPr>
      </w:pPr>
      <w:r w:rsidRPr="003A6204">
        <w:rPr>
          <w:rFonts w:cs="Times New Roman"/>
          <w:szCs w:val="24"/>
        </w:rPr>
        <w:t>Racjonalizacji czasu na wdrażanie LSR przyświeca również propozycja, by wybór LSR w ramach kolejnego konkursu odbywał się w terminie 4 miesięcy (w poprzednim konkursie to 6 miesięcy) od dnia upływu składania wniosków o wybór LSR, a także by komisja informowała LGD o wyniku oceny LSR pod względem spełnienia kryteriów wyboru LSR, w terminie 2 miesięcy (w poprzednim konkursie to 4 miesiące) od dnia upływu terminu składania wniosków o wybór LSR. Powyższe terminy wydają się być wystarczające dla rozstrzygnięcia ponownego konkursu na wybór LSR, tym bardziej, że większość wybranych w poprzednim konkursie LSR, na podstawie umów ramowych będzie realizowana, zatem obszar gmin objętych ponownym konkursem będzie nieporównywalnie mniejszy, tym samym wniosków o wybór LSR będzie znacznie mniej.</w:t>
      </w:r>
    </w:p>
    <w:p w14:paraId="77DDB395" w14:textId="77777777" w:rsidR="00874AFA" w:rsidRPr="003A6204" w:rsidRDefault="00874AFA" w:rsidP="003A6204">
      <w:pPr>
        <w:ind w:firstLine="708"/>
        <w:jc w:val="both"/>
        <w:rPr>
          <w:rFonts w:cs="Times New Roman"/>
          <w:szCs w:val="24"/>
        </w:rPr>
      </w:pPr>
      <w:r w:rsidRPr="003A6204">
        <w:rPr>
          <w:rFonts w:cs="Times New Roman"/>
          <w:szCs w:val="24"/>
        </w:rPr>
        <w:t xml:space="preserve">Konsekwencją zmian projektowanych w art. 14a–14c jest modyfikacja proponowana w art. 5 ust. 3 pkt 1a ustawy (art. 1 pkt 1 lit a projektowanej ustawy). Dotychczasowe brzmienie tego przepisu, zgodnie z którym wyboru LSR dokonuje się jeżeli LSR nie obejmuje obszaru gmin objętych innymi LSR wybranymi po dniu 1 stycznia 2021 r., proponuje się uzupełnić o zastrzeżenie, zgodnie z którym wyboru LSR można dokonać również w przypadku gdy obszar gminy objęty jest co prawda innymi LSR wybranymi po tej dacie, ale te LSR nie są już realizowane na podstawie umowy ramowej. </w:t>
      </w:r>
    </w:p>
    <w:p w14:paraId="0F3F5A5C" w14:textId="77777777" w:rsidR="00874AFA" w:rsidRPr="003A6204" w:rsidRDefault="00874AFA" w:rsidP="003A6204">
      <w:pPr>
        <w:ind w:firstLine="708"/>
        <w:jc w:val="both"/>
        <w:rPr>
          <w:rFonts w:cs="Times New Roman"/>
          <w:szCs w:val="24"/>
        </w:rPr>
      </w:pPr>
      <w:r w:rsidRPr="003A6204">
        <w:rPr>
          <w:rFonts w:cs="Times New Roman"/>
          <w:szCs w:val="24"/>
        </w:rPr>
        <w:t>W art. 15a zmienianej ustawy proponuje się także wprowadzenie zmiany polegającej na poszerzeniu katalogu podmiotów do których mogą być kierowane wytyczne ministra właściwego do spraw rozwoju wsi wydawane w porozumieniu z ministrem właściwym do spraw rozwoju regionalnego. Dla uelastycznienia i ujednolicenia systemu wdrażania RLKS w ramach wszystkich polityk, których środki są zaangażowane w ten instrument, tj. zarówno wspólnej polityki rolnej jak i polityki spójności, proponuje się umożliwienie kierowania przedmiotowych wytycznych do wszystkich zarządów województw, niezależnie od tego czy podmioty te pełnią funkcję podmiotów wdrażających w ramach Planu Strategicznego dla Wspólnej Polityki Rolnej na lata 2023–2027, czy instytucji zarządzających w ramach Programów Fundusze Europejskie dla poszczególnych województw (polityka spójności).</w:t>
      </w:r>
    </w:p>
    <w:p w14:paraId="2DBDDD1D" w14:textId="77777777" w:rsidR="00FD2B6A" w:rsidRDefault="00874AFA" w:rsidP="003A6204">
      <w:pPr>
        <w:jc w:val="both"/>
        <w:rPr>
          <w:rFonts w:cs="Times New Roman"/>
          <w:szCs w:val="24"/>
        </w:rPr>
      </w:pPr>
      <w:r w:rsidRPr="003A6204">
        <w:rPr>
          <w:rFonts w:cs="Times New Roman"/>
          <w:szCs w:val="24"/>
        </w:rPr>
        <w:t>Pozostałe zmiany mają charakter porządkowy i systematyzujący.</w:t>
      </w:r>
    </w:p>
    <w:p w14:paraId="16802D69" w14:textId="2003A465" w:rsidR="00874AFA" w:rsidRPr="003A6204" w:rsidRDefault="00874AFA" w:rsidP="003A6204">
      <w:pPr>
        <w:ind w:firstLine="708"/>
        <w:jc w:val="both"/>
        <w:rPr>
          <w:rFonts w:cs="Times New Roman"/>
          <w:szCs w:val="24"/>
        </w:rPr>
      </w:pPr>
      <w:r w:rsidRPr="003A6204">
        <w:rPr>
          <w:rFonts w:cs="Times New Roman"/>
          <w:szCs w:val="24"/>
        </w:rPr>
        <w:t>Wprowadzenie przedmiotowych przepisów nie będzie miało wpływu na działalność mikroprzedsiębiorców, małych i średnich przedsiębiorców.</w:t>
      </w:r>
    </w:p>
    <w:p w14:paraId="0AEC37A7" w14:textId="77777777" w:rsidR="00874AFA" w:rsidRPr="003A6204" w:rsidRDefault="00874AFA" w:rsidP="003A6204">
      <w:pPr>
        <w:ind w:firstLine="708"/>
        <w:jc w:val="both"/>
        <w:rPr>
          <w:rFonts w:cs="Times New Roman"/>
          <w:szCs w:val="24"/>
        </w:rPr>
      </w:pPr>
      <w:r w:rsidRPr="003A6204">
        <w:rPr>
          <w:rFonts w:cs="Times New Roman"/>
          <w:szCs w:val="24"/>
        </w:rPr>
        <w:lastRenderedPageBreak/>
        <w:t>Wejście w życie ustawy nie będzie miało wpływu na sektor finansów publicznych, w tym na budżety jednostek samorządu terytorialnego.</w:t>
      </w:r>
    </w:p>
    <w:p w14:paraId="231FC75A" w14:textId="77777777" w:rsidR="00874AFA" w:rsidRPr="003A6204" w:rsidRDefault="00874AFA" w:rsidP="003A6204">
      <w:pPr>
        <w:ind w:firstLine="708"/>
        <w:jc w:val="both"/>
        <w:rPr>
          <w:rFonts w:cs="Times New Roman"/>
          <w:szCs w:val="24"/>
        </w:rPr>
      </w:pPr>
      <w:r w:rsidRPr="003A6204">
        <w:rPr>
          <w:rFonts w:cs="Times New Roman"/>
          <w:szCs w:val="24"/>
        </w:rPr>
        <w:t>Projekt jest zgodny z prawem Unii Europejskiej.</w:t>
      </w:r>
    </w:p>
    <w:p w14:paraId="152F9EB1" w14:textId="77777777" w:rsidR="00874AFA" w:rsidRPr="003A6204" w:rsidRDefault="00874AFA" w:rsidP="003A6204">
      <w:pPr>
        <w:ind w:firstLine="708"/>
        <w:jc w:val="both"/>
        <w:rPr>
          <w:rFonts w:cs="Times New Roman"/>
          <w:szCs w:val="24"/>
        </w:rPr>
      </w:pPr>
      <w:r w:rsidRPr="003A6204">
        <w:rPr>
          <w:rFonts w:cs="Times New Roman"/>
          <w:szCs w:val="24"/>
        </w:rPr>
        <w:t>Projekt ustawy nie wymaga przedstawienia organom i instytucjom Unii Europejskiej, w tym Europejskiemu Bankowi Centralnemu w trybie § 27 ust. 4 uchwały Nr 190 Rady Ministrów z dnia 29 października 2013 r. – Regulamin pracy Rady Ministrów (M. P. z 2022 r. poz. 348).</w:t>
      </w:r>
    </w:p>
    <w:p w14:paraId="5EE79B5B" w14:textId="77777777" w:rsidR="00874AFA" w:rsidRPr="003A6204" w:rsidRDefault="00874AFA" w:rsidP="003A6204">
      <w:pPr>
        <w:ind w:firstLine="708"/>
        <w:jc w:val="both"/>
        <w:rPr>
          <w:rFonts w:cs="Times New Roman"/>
          <w:szCs w:val="24"/>
        </w:rPr>
      </w:pPr>
      <w:r w:rsidRPr="003A6204">
        <w:rPr>
          <w:rFonts w:cs="Times New Roman"/>
          <w:szCs w:val="24"/>
        </w:rPr>
        <w:t xml:space="preserve">Projekt ustawy nie zawiera przepisów technicznych, w związku z tym nie podlega obowiązkowi notyfikacji w rozumieniu rozporządzenia Rady Ministrów z dnia 23 grudnia 2002 r. w sprawie sposobu funkcjonowania krajowego systemu notyfikacji norm i aktów prawnych (Dz. U. poz. 2039 oraz z 2004 r. poz. 597). </w:t>
      </w:r>
    </w:p>
    <w:p w14:paraId="67F556AC" w14:textId="77777777" w:rsidR="00874AFA" w:rsidRPr="003A6204" w:rsidRDefault="00874AFA" w:rsidP="003A6204">
      <w:pPr>
        <w:jc w:val="both"/>
        <w:rPr>
          <w:rFonts w:cs="Times New Roman"/>
          <w:szCs w:val="24"/>
        </w:rPr>
      </w:pPr>
    </w:p>
    <w:p w14:paraId="4A0AEE22" w14:textId="77777777" w:rsidR="00874AFA" w:rsidRPr="003A6204" w:rsidRDefault="00874AFA" w:rsidP="003A6204">
      <w:pPr>
        <w:jc w:val="both"/>
        <w:rPr>
          <w:rFonts w:cs="Times New Roman"/>
          <w:szCs w:val="24"/>
        </w:rPr>
      </w:pPr>
    </w:p>
    <w:p w14:paraId="205E6C8A" w14:textId="77777777" w:rsidR="00874AFA" w:rsidRPr="003A6204" w:rsidRDefault="00874AFA" w:rsidP="003A6204">
      <w:pPr>
        <w:pStyle w:val="ARTartustawynprozporzdzenia"/>
        <w:rPr>
          <w:rFonts w:ascii="Times New Roman" w:hAnsi="Times New Roman" w:cs="Times New Roman"/>
          <w:szCs w:val="24"/>
        </w:rPr>
      </w:pPr>
    </w:p>
    <w:p w14:paraId="0C1FDDE0" w14:textId="77777777" w:rsidR="008A210F" w:rsidRPr="003A6204" w:rsidRDefault="008A210F" w:rsidP="003A6204">
      <w:pPr>
        <w:jc w:val="both"/>
        <w:rPr>
          <w:rFonts w:cs="Times New Roman"/>
          <w:szCs w:val="24"/>
        </w:rPr>
      </w:pPr>
    </w:p>
    <w:sectPr w:rsidR="008A210F" w:rsidRPr="003A6204" w:rsidSect="00874AFA">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FF0B" w14:textId="77777777" w:rsidR="00FF0A80" w:rsidRDefault="00FF0A80">
      <w:pPr>
        <w:spacing w:line="240" w:lineRule="auto"/>
      </w:pPr>
      <w:r>
        <w:separator/>
      </w:r>
    </w:p>
  </w:endnote>
  <w:endnote w:type="continuationSeparator" w:id="0">
    <w:p w14:paraId="2662F3D9" w14:textId="77777777" w:rsidR="00FF0A80" w:rsidRDefault="00FF0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C66B" w14:textId="77777777" w:rsidR="00FF0A80" w:rsidRDefault="00FF0A80">
      <w:pPr>
        <w:spacing w:line="240" w:lineRule="auto"/>
      </w:pPr>
      <w:r>
        <w:separator/>
      </w:r>
    </w:p>
  </w:footnote>
  <w:footnote w:type="continuationSeparator" w:id="0">
    <w:p w14:paraId="42652517" w14:textId="77777777" w:rsidR="00FF0A80" w:rsidRDefault="00FF0A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FA"/>
    <w:rsid w:val="0016131E"/>
    <w:rsid w:val="002A6593"/>
    <w:rsid w:val="003A6204"/>
    <w:rsid w:val="003D4A56"/>
    <w:rsid w:val="00573DB9"/>
    <w:rsid w:val="005B21CA"/>
    <w:rsid w:val="006E5B6A"/>
    <w:rsid w:val="0073174F"/>
    <w:rsid w:val="00874AFA"/>
    <w:rsid w:val="008A210F"/>
    <w:rsid w:val="00B439AA"/>
    <w:rsid w:val="00CB1C38"/>
    <w:rsid w:val="00E867EC"/>
    <w:rsid w:val="00F15463"/>
    <w:rsid w:val="00F35D94"/>
    <w:rsid w:val="00FD2B6A"/>
    <w:rsid w:val="00FF0A80"/>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A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AFA"/>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14:ligatures w14:val="none"/>
    </w:rPr>
  </w:style>
  <w:style w:type="paragraph" w:styleId="Nagwek1">
    <w:name w:val="heading 1"/>
    <w:basedOn w:val="Normalny"/>
    <w:next w:val="Normalny"/>
    <w:link w:val="Nagwek1Znak"/>
    <w:uiPriority w:val="9"/>
    <w:qFormat/>
    <w:rsid w:val="00874AFA"/>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874AFA"/>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74AFA"/>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74AFA"/>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874AFA"/>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874AFA"/>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874AFA"/>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874AFA"/>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874AFA"/>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4A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4A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4A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4A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4A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4A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4A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4A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4AFA"/>
    <w:rPr>
      <w:rFonts w:eastAsiaTheme="majorEastAsia" w:cstheme="majorBidi"/>
      <w:color w:val="272727" w:themeColor="text1" w:themeTint="D8"/>
    </w:rPr>
  </w:style>
  <w:style w:type="paragraph" w:styleId="Tytu">
    <w:name w:val="Title"/>
    <w:basedOn w:val="Normalny"/>
    <w:next w:val="Normalny"/>
    <w:link w:val="TytuZnak"/>
    <w:uiPriority w:val="10"/>
    <w:qFormat/>
    <w:rsid w:val="00874AFA"/>
    <w:pPr>
      <w:widowControl/>
      <w:autoSpaceDE/>
      <w:autoSpaceDN/>
      <w:adjustRightInd/>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74A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4AFA"/>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74A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4AFA"/>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874AFA"/>
    <w:rPr>
      <w:i/>
      <w:iCs/>
      <w:color w:val="404040" w:themeColor="text1" w:themeTint="BF"/>
    </w:rPr>
  </w:style>
  <w:style w:type="paragraph" w:styleId="Akapitzlist">
    <w:name w:val="List Paragraph"/>
    <w:basedOn w:val="Normalny"/>
    <w:uiPriority w:val="34"/>
    <w:qFormat/>
    <w:rsid w:val="00874AFA"/>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874AFA"/>
    <w:rPr>
      <w:i/>
      <w:iCs/>
      <w:color w:val="0F4761" w:themeColor="accent1" w:themeShade="BF"/>
    </w:rPr>
  </w:style>
  <w:style w:type="paragraph" w:styleId="Cytatintensywny">
    <w:name w:val="Intense Quote"/>
    <w:basedOn w:val="Normalny"/>
    <w:next w:val="Normalny"/>
    <w:link w:val="CytatintensywnyZnak"/>
    <w:uiPriority w:val="30"/>
    <w:qFormat/>
    <w:rsid w:val="00874AFA"/>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874AFA"/>
    <w:rPr>
      <w:i/>
      <w:iCs/>
      <w:color w:val="0F4761" w:themeColor="accent1" w:themeShade="BF"/>
    </w:rPr>
  </w:style>
  <w:style w:type="character" w:styleId="Odwoanieintensywne">
    <w:name w:val="Intense Reference"/>
    <w:basedOn w:val="Domylnaczcionkaakapitu"/>
    <w:uiPriority w:val="32"/>
    <w:qFormat/>
    <w:rsid w:val="00874AFA"/>
    <w:rPr>
      <w:b/>
      <w:bCs/>
      <w:smallCaps/>
      <w:color w:val="0F4761" w:themeColor="accent1" w:themeShade="BF"/>
      <w:spacing w:val="5"/>
    </w:rPr>
  </w:style>
  <w:style w:type="paragraph" w:customStyle="1" w:styleId="ZLITwPKTzmlitwpktartykuempunktem">
    <w:name w:val="Z/LIT_w_PKT – zm. lit. w pkt artykułem (punktem)"/>
    <w:basedOn w:val="LITlitera"/>
    <w:uiPriority w:val="32"/>
    <w:qFormat/>
    <w:rsid w:val="00874AFA"/>
    <w:pPr>
      <w:ind w:left="1497"/>
    </w:pPr>
  </w:style>
  <w:style w:type="paragraph" w:customStyle="1" w:styleId="ZCZWSPLITwPKTzmczciwsplitwpktartykuempunktem">
    <w:name w:val="Z/CZ_WSP_LIT_w_PKT – zm. części wsp. lit. w pkt artykułem (punktem)"/>
    <w:basedOn w:val="Normalny"/>
    <w:next w:val="ZARTzmartartykuempunktem"/>
    <w:uiPriority w:val="35"/>
    <w:qFormat/>
    <w:rsid w:val="00874AFA"/>
    <w:pPr>
      <w:widowControl/>
      <w:autoSpaceDE/>
      <w:autoSpaceDN/>
      <w:adjustRightInd/>
      <w:ind w:left="1021"/>
      <w:jc w:val="both"/>
    </w:pPr>
    <w:rPr>
      <w:rFonts w:ascii="Times" w:hAnsi="Times"/>
      <w:bCs/>
      <w:szCs w:val="24"/>
    </w:rPr>
  </w:style>
  <w:style w:type="paragraph" w:styleId="Nagwek">
    <w:name w:val="header"/>
    <w:basedOn w:val="Normalny"/>
    <w:link w:val="NagwekZnak"/>
    <w:uiPriority w:val="99"/>
    <w:semiHidden/>
    <w:rsid w:val="00874AF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74AFA"/>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uiPriority w:val="11"/>
    <w:qFormat/>
    <w:rsid w:val="00874AFA"/>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ZPKTzmpktartykuempunktem">
    <w:name w:val="Z/PKT – zm. pkt artykułem (punktem)"/>
    <w:basedOn w:val="PKTpunkt"/>
    <w:uiPriority w:val="31"/>
    <w:qFormat/>
    <w:rsid w:val="00874AFA"/>
    <w:pPr>
      <w:ind w:left="1020"/>
    </w:pPr>
  </w:style>
  <w:style w:type="paragraph" w:customStyle="1" w:styleId="ZARTzmartartykuempunktem">
    <w:name w:val="Z/ART(§) – zm. art. (§) artykułem (punktem)"/>
    <w:basedOn w:val="ARTartustawynprozporzdzenia"/>
    <w:uiPriority w:val="30"/>
    <w:qFormat/>
    <w:rsid w:val="00874AF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874AFA"/>
    <w:pPr>
      <w:keepNext/>
      <w:suppressAutoHyphens/>
      <w:spacing w:before="120" w:after="120" w:line="360" w:lineRule="auto"/>
      <w:jc w:val="center"/>
    </w:pPr>
    <w:rPr>
      <w:rFonts w:ascii="Times" w:eastAsiaTheme="minorEastAsia"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874AFA"/>
    <w:pPr>
      <w:keepNext/>
      <w:suppressAutoHyphens/>
      <w:spacing w:before="120" w:after="360" w:line="360" w:lineRule="auto"/>
      <w:jc w:val="center"/>
    </w:pPr>
    <w:rPr>
      <w:rFonts w:ascii="Times" w:eastAsiaTheme="minorEastAsia"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uiPriority w:val="5"/>
    <w:qFormat/>
    <w:rsid w:val="00874AFA"/>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PKTpunkt">
    <w:name w:val="PKT – punkt"/>
    <w:uiPriority w:val="13"/>
    <w:qFormat/>
    <w:rsid w:val="00874AFA"/>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LITlitera">
    <w:name w:val="LIT – litera"/>
    <w:basedOn w:val="PKTpunkt"/>
    <w:uiPriority w:val="14"/>
    <w:qFormat/>
    <w:rsid w:val="00874AFA"/>
    <w:pPr>
      <w:ind w:left="986" w:hanging="476"/>
    </w:pPr>
  </w:style>
  <w:style w:type="paragraph" w:customStyle="1" w:styleId="ZLITPKTzmpktliter">
    <w:name w:val="Z_LIT/PKT – zm. pkt literą"/>
    <w:basedOn w:val="PKTpunkt"/>
    <w:uiPriority w:val="47"/>
    <w:qFormat/>
    <w:rsid w:val="00874AFA"/>
    <w:pPr>
      <w:ind w:left="1497"/>
    </w:pPr>
  </w:style>
  <w:style w:type="character" w:styleId="Odwoaniedokomentarza">
    <w:name w:val="annotation reference"/>
    <w:basedOn w:val="Domylnaczcionkaakapitu"/>
    <w:uiPriority w:val="99"/>
    <w:semiHidden/>
    <w:rsid w:val="00874AFA"/>
    <w:rPr>
      <w:sz w:val="16"/>
      <w:szCs w:val="16"/>
    </w:rPr>
  </w:style>
  <w:style w:type="paragraph" w:customStyle="1" w:styleId="ZUSTzmustartykuempunktem">
    <w:name w:val="Z/UST(§) – zm. ust. (§) artykułem (punktem)"/>
    <w:basedOn w:val="ZARTzmartartykuempunktem"/>
    <w:uiPriority w:val="30"/>
    <w:qFormat/>
    <w:rsid w:val="00874AFA"/>
  </w:style>
  <w:style w:type="paragraph" w:customStyle="1" w:styleId="OZNPROJEKTUwskazaniedatylubwersjiprojektu">
    <w:name w:val="OZN_PROJEKTU – wskazanie daty lub wersji projektu"/>
    <w:next w:val="OZNRODZAKTUtznustawalubrozporzdzenieiorganwydajcy"/>
    <w:uiPriority w:val="5"/>
    <w:qFormat/>
    <w:rsid w:val="00874AFA"/>
    <w:pPr>
      <w:spacing w:after="0" w:line="360" w:lineRule="auto"/>
      <w:jc w:val="right"/>
    </w:pPr>
    <w:rPr>
      <w:rFonts w:ascii="Times New Roman" w:eastAsiaTheme="minorEastAsia" w:hAnsi="Times New Roman" w:cs="Arial"/>
      <w:kern w:val="0"/>
      <w:sz w:val="24"/>
      <w:szCs w:val="20"/>
      <w:u w:val="single"/>
      <w:lang w:eastAsia="pl-PL"/>
      <w14:ligatures w14:val="none"/>
    </w:rPr>
  </w:style>
  <w:style w:type="character" w:customStyle="1" w:styleId="Ppogrubienie">
    <w:name w:val="_P_ – pogrubienie"/>
    <w:basedOn w:val="Domylnaczcionkaakapitu"/>
    <w:uiPriority w:val="1"/>
    <w:qFormat/>
    <w:rsid w:val="00874AFA"/>
    <w:rPr>
      <w:b/>
    </w:rPr>
  </w:style>
  <w:style w:type="paragraph" w:styleId="Stopka">
    <w:name w:val="footer"/>
    <w:basedOn w:val="Normalny"/>
    <w:link w:val="StopkaZnak"/>
    <w:uiPriority w:val="99"/>
    <w:unhideWhenUsed/>
    <w:rsid w:val="003A6204"/>
    <w:pPr>
      <w:tabs>
        <w:tab w:val="center" w:pos="4536"/>
        <w:tab w:val="right" w:pos="9072"/>
      </w:tabs>
      <w:spacing w:line="240" w:lineRule="auto"/>
    </w:pPr>
  </w:style>
  <w:style w:type="character" w:customStyle="1" w:styleId="StopkaZnak">
    <w:name w:val="Stopka Znak"/>
    <w:basedOn w:val="Domylnaczcionkaakapitu"/>
    <w:link w:val="Stopka"/>
    <w:uiPriority w:val="99"/>
    <w:rsid w:val="003A6204"/>
    <w:rPr>
      <w:rFonts w:ascii="Times New Roman" w:eastAsiaTheme="minorEastAsia" w:hAnsi="Times New Roman" w:cs="Arial"/>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2450</Words>
  <Characters>14705</Characters>
  <Application>Microsoft Office Word</Application>
  <DocSecurity>0</DocSecurity>
  <Lines>122</Lines>
  <Paragraphs>34</Paragraphs>
  <ScaleCrop>false</ScaleCrop>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2024-06-28T11:00:00Z</dcterms:created>
  <dcterms:modified xsi:type="dcterms:W3CDTF">2024-06-28T11:00:00Z</dcterms:modified>
</cp:coreProperties>
</file>